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spellStart"/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>Prot</w:t>
      </w:r>
      <w:proofErr w:type="spellEnd"/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>. n.</w:t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1A7CD5">
        <w:rPr>
          <w:rFonts w:ascii="Times New Roman" w:eastAsia="Times New Roman" w:hAnsi="Times New Roman" w:cs="Times New Roman"/>
          <w:sz w:val="24"/>
          <w:szCs w:val="20"/>
          <w:lang w:eastAsia="it-IT"/>
        </w:rPr>
        <w:t>4079/VI.3</w:t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        Perugia, </w:t>
      </w:r>
      <w:r w:rsidR="001A7CD5">
        <w:rPr>
          <w:rFonts w:ascii="Times New Roman" w:eastAsia="Times New Roman" w:hAnsi="Times New Roman" w:cs="Times New Roman"/>
          <w:sz w:val="24"/>
          <w:szCs w:val="20"/>
          <w:lang w:eastAsia="it-IT"/>
        </w:rPr>
        <w:t>22/05/2017</w:t>
      </w:r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71470" w:rsidRPr="00E71470" w:rsidRDefault="00E71470" w:rsidP="00E714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          SITO WEB </w:t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Albo on line</w:t>
      </w:r>
    </w:p>
    <w:p w:rsidR="00E71470" w:rsidRPr="00E71470" w:rsidRDefault="00E71470" w:rsidP="00E7147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>Amministrazione Trasparente</w:t>
      </w:r>
    </w:p>
    <w:p w:rsidR="00E71470" w:rsidRPr="00E71470" w:rsidRDefault="00E71470" w:rsidP="00E7147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470" w:rsidRPr="00E71470" w:rsidRDefault="00E71470" w:rsidP="00200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tabs>
          <w:tab w:val="left" w:pos="1276"/>
        </w:tabs>
        <w:spacing w:after="0" w:line="240" w:lineRule="auto"/>
        <w:ind w:left="142" w:right="-1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b/>
          <w:sz w:val="24"/>
          <w:szCs w:val="24"/>
          <w:lang w:eastAsia="it-IT"/>
        </w:rPr>
        <w:t>Oggetto</w:t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DETERMINA A CONTRARRE PER AFFIDAMENTO </w:t>
      </w:r>
      <w:r w:rsidR="002007E2">
        <w:rPr>
          <w:rFonts w:ascii="Calibri" w:eastAsia="Times New Roman" w:hAnsi="Calibri" w:cs="Times New Roman"/>
          <w:sz w:val="24"/>
          <w:szCs w:val="24"/>
          <w:lang w:eastAsia="it-IT"/>
        </w:rPr>
        <w:t>MATERIALE DI CANCELLERIA</w:t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b/>
          <w:sz w:val="24"/>
          <w:szCs w:val="24"/>
          <w:lang w:eastAsia="it-IT"/>
        </w:rPr>
        <w:t>IL DIRIGENTE SCOLASTICO</w:t>
      </w: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l'articolo 32, comma 2, del </w:t>
      </w:r>
      <w:proofErr w:type="spellStart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D.Lgs.</w:t>
      </w:r>
      <w:proofErr w:type="spellEnd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18 aprile 2016, </w:t>
      </w:r>
      <w:proofErr w:type="spellStart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D.Lgs</w:t>
      </w:r>
      <w:proofErr w:type="spellEnd"/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n. 50, il quale dispone che “p</w:t>
      </w:r>
      <w:r w:rsidRPr="00E71470">
        <w:rPr>
          <w:rFonts w:ascii="Calibri" w:eastAsia="Times New Roman" w:hAnsi="Calibri" w:cs="Tahoma"/>
          <w:sz w:val="24"/>
          <w:szCs w:val="24"/>
          <w:lang w:eastAsia="it-IT"/>
        </w:rPr>
        <w:t>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offerte”;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D.I. 44/2001;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CONSIDERATO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che si rende la necessità di fornitura di </w:t>
      </w:r>
      <w:r w:rsidR="002007E2">
        <w:rPr>
          <w:rFonts w:ascii="Calibri" w:eastAsia="Times New Roman" w:hAnsi="Calibri" w:cs="Times-Roman"/>
          <w:sz w:val="24"/>
          <w:szCs w:val="24"/>
          <w:lang w:eastAsia="it-IT"/>
        </w:rPr>
        <w:t>cancelleria per l’I. C. Perugia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12;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880748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RITENUTA </w:t>
      </w:r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>la fornitura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 xml:space="preserve"> coerente col Piano Triennale dell’Offerta Formativa e con il Programma Annuale;</w:t>
      </w:r>
    </w:p>
    <w:p w:rsidR="00880748" w:rsidRDefault="00880748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</w:p>
    <w:p w:rsidR="00880748" w:rsidRPr="00E71470" w:rsidRDefault="00880748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880748">
        <w:rPr>
          <w:rFonts w:ascii="Calibri" w:eastAsia="Times New Roman" w:hAnsi="Calibri" w:cs="Times-Roman"/>
          <w:b/>
          <w:sz w:val="24"/>
          <w:szCs w:val="24"/>
          <w:lang w:eastAsia="it-IT"/>
        </w:rPr>
        <w:t>VISTA</w:t>
      </w:r>
      <w:r>
        <w:rPr>
          <w:rFonts w:ascii="Calibri" w:eastAsia="Times New Roman" w:hAnsi="Calibri" w:cs="Times-Roman"/>
          <w:sz w:val="24"/>
          <w:szCs w:val="24"/>
          <w:lang w:eastAsia="it-IT"/>
        </w:rPr>
        <w:t xml:space="preserve"> l’esiguità della spesa;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Cs/>
          <w:sz w:val="24"/>
          <w:szCs w:val="24"/>
          <w:lang w:eastAsia="it-IT"/>
        </w:rPr>
      </w:pPr>
      <w:proofErr w:type="gramStart"/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 </w:t>
      </w:r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>che</w:t>
      </w:r>
      <w:proofErr w:type="gramEnd"/>
      <w:r w:rsidRPr="00E71470">
        <w:rPr>
          <w:rFonts w:ascii="Calibri" w:eastAsia="Times New Roman" w:hAnsi="Calibri" w:cs="Times-Bold"/>
          <w:bCs/>
          <w:sz w:val="24"/>
          <w:szCs w:val="24"/>
          <w:lang w:eastAsia="it-IT"/>
        </w:rPr>
        <w:t xml:space="preserve"> ai sensi dell’articolo 1, comma 449, della legge 27 dicembre 2006, n. 296 le Pubbliche amministrazioni sono tenute ad approvvigionarsi attraverso la piattaforma del MEPA;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RITENUTO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di scegliere, quale modalità di scelta del contraente, la procedura comparativa mediante comparazione di preventivi di operatori inseriti nel MEPA;</w:t>
      </w:r>
    </w:p>
    <w:p w:rsidR="00E71470" w:rsidRPr="00E71470" w:rsidRDefault="00E71470" w:rsidP="00E71470">
      <w:pPr>
        <w:spacing w:after="0" w:line="225" w:lineRule="atLeast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25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CIG n</w:t>
      </w:r>
      <w:r w:rsidRPr="00976B68">
        <w:rPr>
          <w:rFonts w:ascii="Calibri" w:eastAsia="Times New Roman" w:hAnsi="Calibri" w:cs="Times-Roman"/>
          <w:b/>
          <w:sz w:val="24"/>
          <w:szCs w:val="24"/>
          <w:lang w:eastAsia="it-IT"/>
        </w:rPr>
        <w:t xml:space="preserve">. </w:t>
      </w:r>
      <w:r w:rsidR="0034436A">
        <w:rPr>
          <w:b/>
        </w:rPr>
        <w:t>Z7A1EC413C</w:t>
      </w:r>
      <w:r w:rsidR="00976B68">
        <w:t xml:space="preserve">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acquisito da questa stazione appaltante;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</w:pP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-Bold"/>
          <w:b/>
          <w:bCs/>
          <w:sz w:val="24"/>
          <w:szCs w:val="24"/>
          <w:lang w:eastAsia="it-IT"/>
        </w:rPr>
        <w:t xml:space="preserve">VISTO </w:t>
      </w:r>
      <w:r w:rsidRPr="00E71470">
        <w:rPr>
          <w:rFonts w:ascii="Calibri" w:eastAsia="Times New Roman" w:hAnsi="Calibri" w:cs="Times-Roman"/>
          <w:sz w:val="24"/>
          <w:szCs w:val="24"/>
          <w:lang w:eastAsia="it-IT"/>
        </w:rPr>
        <w:t>il DPR del 20 agosto 2001, n.384 (Regolamento di semplificazione dei procedimenti di spese in economia);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E71470" w:rsidRPr="00E71470" w:rsidRDefault="002624B4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DETERMINA</w:t>
      </w:r>
    </w:p>
    <w:p w:rsidR="00E71470" w:rsidRPr="00E71470" w:rsidRDefault="00E71470" w:rsidP="00E7147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2746DD" w:rsidRDefault="002746DD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2746DD" w:rsidRDefault="002746DD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</w:p>
    <w:p w:rsidR="00F423CE" w:rsidRPr="00F423CE" w:rsidRDefault="00F423CE" w:rsidP="00F423C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lang w:eastAsia="it-IT"/>
        </w:rPr>
      </w:pPr>
      <w:bookmarkStart w:id="0" w:name="_GoBack"/>
      <w:bookmarkEnd w:id="0"/>
      <w:r>
        <w:rPr>
          <w:rFonts w:ascii="Calibri" w:eastAsia="Times New Roman" w:hAnsi="Calibri" w:cs="Times-Roman"/>
          <w:lang w:eastAsia="it-IT"/>
        </w:rPr>
        <w:t xml:space="preserve">Di procedere all’indagine di mercato per la fornitura </w:t>
      </w:r>
      <w:proofErr w:type="gramStart"/>
      <w:r>
        <w:rPr>
          <w:rFonts w:ascii="Calibri" w:eastAsia="Times New Roman" w:hAnsi="Calibri" w:cs="Times-Roman"/>
          <w:lang w:eastAsia="it-IT"/>
        </w:rPr>
        <w:t xml:space="preserve">di </w:t>
      </w:r>
      <w:r w:rsidRPr="00F423CE">
        <w:rPr>
          <w:rFonts w:ascii="Calibri" w:eastAsia="Times New Roman" w:hAnsi="Calibri" w:cs="Times-Roman"/>
          <w:lang w:eastAsia="it-IT"/>
        </w:rPr>
        <w:t xml:space="preserve"> materiale</w:t>
      </w:r>
      <w:proofErr w:type="gramEnd"/>
      <w:r w:rsidRPr="00F423CE">
        <w:rPr>
          <w:rFonts w:ascii="Calibri" w:eastAsia="Times New Roman" w:hAnsi="Calibri" w:cs="Times-Roman"/>
          <w:lang w:eastAsia="it-IT"/>
        </w:rPr>
        <w:t xml:space="preserve"> </w:t>
      </w:r>
      <w:r>
        <w:rPr>
          <w:rFonts w:ascii="Calibri" w:eastAsia="Times New Roman" w:hAnsi="Calibri" w:cs="Times-Roman"/>
          <w:lang w:eastAsia="it-IT"/>
        </w:rPr>
        <w:t>di cancelleria</w:t>
      </w:r>
      <w:r w:rsidRPr="00F423CE">
        <w:rPr>
          <w:rFonts w:ascii="Calibri" w:eastAsia="Times New Roman" w:hAnsi="Calibri" w:cs="Times-Roman"/>
          <w:lang w:eastAsia="it-IT"/>
        </w:rPr>
        <w:t xml:space="preserve"> nell’ambito dello svolgimento delle attività didattiche dell’I. C. Perugia 12 previa compar</w:t>
      </w:r>
      <w:r w:rsidR="00491D1C">
        <w:rPr>
          <w:rFonts w:ascii="Calibri" w:eastAsia="Times New Roman" w:hAnsi="Calibri" w:cs="Times-Roman"/>
          <w:lang w:eastAsia="it-IT"/>
        </w:rPr>
        <w:t xml:space="preserve">azione di almeno tre preventivi di ditte individuate nel </w:t>
      </w:r>
      <w:proofErr w:type="spellStart"/>
      <w:r w:rsidR="00491D1C">
        <w:rPr>
          <w:rFonts w:ascii="Calibri" w:eastAsia="Times New Roman" w:hAnsi="Calibri" w:cs="Times-Roman"/>
          <w:lang w:eastAsia="it-IT"/>
        </w:rPr>
        <w:t>mepa</w:t>
      </w:r>
      <w:proofErr w:type="spellEnd"/>
      <w:r w:rsidR="00491D1C">
        <w:rPr>
          <w:rFonts w:ascii="Calibri" w:eastAsia="Times New Roman" w:hAnsi="Calibri" w:cs="Times-Roman"/>
          <w:lang w:eastAsia="it-IT"/>
        </w:rPr>
        <w:t xml:space="preserve"> su base casuale tramite principio di rotazione ed economicamente tra le più vantaggiose.</w:t>
      </w:r>
    </w:p>
    <w:p w:rsidR="00E71470" w:rsidRPr="00E71470" w:rsidRDefault="00E71470" w:rsidP="00E71470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E71470" w:rsidRPr="00E71470" w:rsidRDefault="00E71470" w:rsidP="00E7147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criterio di scelta del contraente è quello del prezzo più basso, ai sensi dell’art. 95 comma 4 del </w:t>
      </w:r>
      <w:proofErr w:type="spellStart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D.Lgs</w:t>
      </w:r>
      <w:proofErr w:type="spellEnd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50/2016 e successive modifiche e integrazioni. Si procederà all’affidamento dell’incarico anche in presenza di una sola offerta ritenuta congrua;</w:t>
      </w:r>
    </w:p>
    <w:p w:rsidR="00E71470" w:rsidRPr="00E71470" w:rsidRDefault="00E71470" w:rsidP="00E714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E71470" w:rsidRPr="00E71470" w:rsidRDefault="00E71470" w:rsidP="00E714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-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Ai sensi dell’art.31 del D.L.gs n.50/2016 e dell’art. n.5 della Legge 241/1990, il responsabile del procedimento è la Prof.ssa Iva ROSSI – Dirigente Scolastico di questo Istituto.</w:t>
      </w:r>
    </w:p>
    <w:p w:rsidR="00E71470" w:rsidRPr="00E71470" w:rsidRDefault="00E71470" w:rsidP="00E71470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-Roman"/>
          <w:b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La presente determinazione a contrarre sarà pubblicata sul sito web dell’Istituto nella sezione “Albo On Line” e nella sezione dedicata “Amministrazione Trasparente”.</w:t>
      </w:r>
    </w:p>
    <w:p w:rsidR="00E71470" w:rsidRPr="00E71470" w:rsidRDefault="00E71470" w:rsidP="00E714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E71470" w:rsidRPr="00E71470" w:rsidRDefault="00E71470" w:rsidP="00E7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71470" w:rsidRPr="00E71470" w:rsidRDefault="00E71470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</w:t>
      </w: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IL DIRIGENTE SCOLASTICO</w:t>
      </w:r>
    </w:p>
    <w:p w:rsidR="00E71470" w:rsidRDefault="00E71470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Prof. </w:t>
      </w:r>
      <w:proofErr w:type="spellStart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>ssa</w:t>
      </w:r>
      <w:proofErr w:type="spellEnd"/>
      <w:r w:rsidRPr="00E714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Iva Rossi</w:t>
      </w:r>
    </w:p>
    <w:p w:rsidR="00D52F66" w:rsidRPr="00E71470" w:rsidRDefault="00D52F66" w:rsidP="00E71470">
      <w:pPr>
        <w:tabs>
          <w:tab w:val="left" w:pos="486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52F66" w:rsidRDefault="00E71470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</w:t>
      </w:r>
      <w:r w:rsidR="00D52F6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</w:t>
      </w:r>
      <w:r w:rsidRPr="00E7147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E7147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="00D52F66"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Firma autografa sostituita a mezzo stampa, </w:t>
      </w:r>
    </w:p>
    <w:p w:rsidR="00D52F66" w:rsidRDefault="00D52F66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</w:t>
      </w:r>
      <w:proofErr w:type="gram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ai</w:t>
      </w:r>
      <w:proofErr w:type="gram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sensi e per gli effetti dell’art. 3 comma 2 </w:t>
      </w:r>
    </w:p>
    <w:p w:rsidR="0096049F" w:rsidRPr="00D52F66" w:rsidRDefault="00D52F66" w:rsidP="00D52F66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          </w:t>
      </w:r>
      <w:proofErr w:type="gram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del</w:t>
      </w:r>
      <w:proofErr w:type="gram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356FA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39/1993</w:t>
      </w:r>
      <w:r w:rsidRPr="00356F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</w:t>
      </w:r>
    </w:p>
    <w:sectPr w:rsidR="0096049F" w:rsidRPr="00D52F66" w:rsidSect="00E7147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70" w:rsidRDefault="00E71470" w:rsidP="00E71470">
      <w:pPr>
        <w:spacing w:after="0" w:line="240" w:lineRule="auto"/>
      </w:pPr>
      <w:r>
        <w:separator/>
      </w:r>
    </w:p>
  </w:endnote>
  <w:endnote w:type="continuationSeparator" w:id="0">
    <w:p w:rsidR="00E71470" w:rsidRDefault="00E71470" w:rsidP="00E7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70" w:rsidRDefault="00E71470" w:rsidP="00E71470">
      <w:pPr>
        <w:spacing w:after="0" w:line="240" w:lineRule="auto"/>
      </w:pPr>
      <w:r>
        <w:separator/>
      </w:r>
    </w:p>
  </w:footnote>
  <w:footnote w:type="continuationSeparator" w:id="0">
    <w:p w:rsidR="00E71470" w:rsidRDefault="00E71470" w:rsidP="00E7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470" w:rsidRDefault="00E71470" w:rsidP="00E71470">
    <w:pPr>
      <w:pStyle w:val="Pidipagina"/>
      <w:rPr>
        <w:sz w:val="18"/>
        <w:szCs w:val="18"/>
      </w:rPr>
    </w:pPr>
  </w:p>
  <w:p w:rsidR="00E71470" w:rsidRDefault="00E71470" w:rsidP="00E71470">
    <w:pPr>
      <w:pStyle w:val="Pidipagina"/>
      <w:rPr>
        <w:sz w:val="18"/>
        <w:szCs w:val="18"/>
      </w:rPr>
    </w:pPr>
  </w:p>
  <w:p w:rsidR="00E71470" w:rsidRDefault="00E71470" w:rsidP="00E71470">
    <w:pPr>
      <w:pStyle w:val="Intestazione"/>
    </w:pPr>
    <w:r>
      <w:rPr>
        <w:noProof/>
        <w:lang w:eastAsia="it-IT"/>
      </w:rPr>
      <w:drawing>
        <wp:inline distT="0" distB="0" distL="0" distR="0">
          <wp:extent cx="6124575" cy="8191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22"/>
        <w:szCs w:val="22"/>
      </w:rPr>
    </w:pP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-1905</wp:posOffset>
          </wp:positionV>
          <wp:extent cx="549910" cy="561975"/>
          <wp:effectExtent l="0" t="0" r="254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00"/>
        <w:sz w:val="22"/>
        <w:szCs w:val="22"/>
      </w:rPr>
      <w:t>ISTITUTO COMPRENSIVO STATALE PERUGIA 12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Via </w:t>
    </w:r>
    <w:proofErr w:type="spellStart"/>
    <w:r>
      <w:rPr>
        <w:b/>
        <w:bCs/>
        <w:color w:val="000000"/>
        <w:sz w:val="18"/>
        <w:szCs w:val="18"/>
      </w:rPr>
      <w:t>Cestellini</w:t>
    </w:r>
    <w:proofErr w:type="spellEnd"/>
    <w:r>
      <w:rPr>
        <w:b/>
        <w:bCs/>
        <w:color w:val="000000"/>
        <w:sz w:val="18"/>
        <w:szCs w:val="18"/>
      </w:rPr>
      <w:t xml:space="preserve"> n. 3 Ponte San Giovanni– 06135 PERUGIA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  <w:lang w:val="en-GB"/>
      </w:rPr>
    </w:pPr>
    <w:r>
      <w:rPr>
        <w:b/>
        <w:bCs/>
        <w:color w:val="000000"/>
        <w:sz w:val="18"/>
        <w:szCs w:val="18"/>
        <w:lang w:val="en-US"/>
      </w:rPr>
      <w:t>C. F. 94127320540 COD. MEC. PGIC840009 -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Tel. Centralino 075 395539 – Cell. 334/257809 – 334/2507779 - Fax 075 393906</w:t>
    </w:r>
  </w:p>
  <w:p w:rsidR="00E71470" w:rsidRDefault="00E71470" w:rsidP="00E71470">
    <w:pPr>
      <w:pStyle w:val="NormaleWeb"/>
      <w:spacing w:before="0" w:after="0"/>
      <w:jc w:val="center"/>
      <w:rPr>
        <w:b/>
        <w:bCs/>
        <w:color w:val="000000"/>
        <w:sz w:val="18"/>
        <w:szCs w:val="18"/>
        <w:u w:val="single"/>
      </w:rPr>
    </w:pPr>
    <w:r>
      <w:rPr>
        <w:b/>
        <w:bCs/>
        <w:color w:val="000000"/>
        <w:sz w:val="18"/>
        <w:szCs w:val="18"/>
      </w:rPr>
      <w:t xml:space="preserve">E mail: </w:t>
    </w:r>
    <w:hyperlink r:id="rId3" w:history="1">
      <w:r>
        <w:rPr>
          <w:rStyle w:val="Collegamentoipertestuale"/>
        </w:rPr>
        <w:t>PGIC840009@istruzione.it</w:t>
      </w:r>
    </w:hyperlink>
    <w:r>
      <w:t xml:space="preserve"> – </w:t>
    </w:r>
    <w:r>
      <w:rPr>
        <w:b/>
        <w:bCs/>
        <w:sz w:val="20"/>
        <w:szCs w:val="20"/>
      </w:rPr>
      <w:t>PEC</w:t>
    </w:r>
    <w:r>
      <w:t xml:space="preserve">: </w:t>
    </w:r>
    <w:hyperlink r:id="rId4" w:history="1">
      <w:r>
        <w:rPr>
          <w:rStyle w:val="Collegamentoipertestuale"/>
        </w:rPr>
        <w:t>PGIC840009@PEC.ISTRUZIONE.IT</w:t>
      </w:r>
    </w:hyperlink>
  </w:p>
  <w:p w:rsidR="00E71470" w:rsidRDefault="00E71470" w:rsidP="00E71470">
    <w:pPr>
      <w:pStyle w:val="Intestazione"/>
      <w:jc w:val="center"/>
    </w:pPr>
    <w:r>
      <w:rPr>
        <w:b/>
        <w:bCs/>
        <w:color w:val="000000"/>
        <w:sz w:val="18"/>
        <w:szCs w:val="18"/>
      </w:rPr>
      <w:t xml:space="preserve">- Sito: </w:t>
    </w:r>
    <w:r>
      <w:rPr>
        <w:b/>
        <w:bCs/>
        <w:sz w:val="18"/>
        <w:szCs w:val="18"/>
      </w:rPr>
      <w:t>www.istitutocomprensivoperugia12.gov.it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6BE"/>
    <w:multiLevelType w:val="hybridMultilevel"/>
    <w:tmpl w:val="77C078B8"/>
    <w:lvl w:ilvl="0" w:tplc="97FAD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9"/>
    <w:rsid w:val="00107457"/>
    <w:rsid w:val="001A7CD5"/>
    <w:rsid w:val="002007E2"/>
    <w:rsid w:val="002521D2"/>
    <w:rsid w:val="002624B4"/>
    <w:rsid w:val="002746DD"/>
    <w:rsid w:val="002E57F6"/>
    <w:rsid w:val="0034436A"/>
    <w:rsid w:val="00491D1C"/>
    <w:rsid w:val="007F0A26"/>
    <w:rsid w:val="00880748"/>
    <w:rsid w:val="0096049F"/>
    <w:rsid w:val="00976B68"/>
    <w:rsid w:val="009F23C5"/>
    <w:rsid w:val="00BE1889"/>
    <w:rsid w:val="00CD0062"/>
    <w:rsid w:val="00D52F66"/>
    <w:rsid w:val="00E71470"/>
    <w:rsid w:val="00E97FD6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D530800-6088-40AC-BF90-906DD1DE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470"/>
  </w:style>
  <w:style w:type="paragraph" w:styleId="Pidipagina">
    <w:name w:val="footer"/>
    <w:basedOn w:val="Normale"/>
    <w:link w:val="PidipaginaCarattere"/>
    <w:uiPriority w:val="99"/>
    <w:unhideWhenUsed/>
    <w:rsid w:val="00E7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470"/>
  </w:style>
  <w:style w:type="character" w:styleId="Collegamentoipertestuale">
    <w:name w:val="Hyperlink"/>
    <w:basedOn w:val="Carpredefinitoparagrafo"/>
    <w:semiHidden/>
    <w:unhideWhenUsed/>
    <w:rsid w:val="00E7147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E714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40009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19</cp:revision>
  <cp:lastPrinted>2017-05-26T10:07:00Z</cp:lastPrinted>
  <dcterms:created xsi:type="dcterms:W3CDTF">2016-12-21T15:22:00Z</dcterms:created>
  <dcterms:modified xsi:type="dcterms:W3CDTF">2017-05-26T10:08:00Z</dcterms:modified>
</cp:coreProperties>
</file>